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/>
      <w:r>
        <w:rPr>
          <w:color w:val="5F6F6A"/>
        </w:rPr>
        <w:t xml:space="preserve">[Hospital / clinic name, address and logo]</w:t>
      </w:r>
    </w:p>
    <w:p>
      <w:pPr>
        <w:pStyle w:val="Title"/>
      </w:pPr>
      <w:r>
        <w:rPr/>
        <w:t xml:space="preserve">Rhinoscopy and Ear Examination Report</w:t>
      </w:r>
    </w:p>
    <w:p>
      <w:pPr/>
      <w:r>
        <w:rPr>
          <w:color w:val="5F6F6A"/>
        </w:rPr>
        <w:t xml:space="preserve">Nasal cavity, ear canal and tympanic membrane</w:t>
      </w:r>
    </w:p>
    <w:tbl>
      <w:tblPr>
        <w:tblW w:w="9638" w:type="dxa"/>
        <w:tblBorders>
          <w:top w:val="single" w:sz="4" w:color="B8C2BF"/>
          <w:left w:val="single" w:sz="4" w:color="B8C2BF"/>
          <w:bottom w:val="single" w:sz="4" w:color="B8C2BF"/>
          <w:right w:val="single" w:sz="4" w:color="B8C2BF"/>
          <w:insideH w:val="single" w:sz="4" w:color="B8C2BF"/>
          <w:insideV w:val="single" w:sz="4" w:color="B8C2B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409.5"/>
        <w:gridCol w:w="2409.5"/>
        <w:gridCol w:w="2409.5"/>
        <w:gridCol w:w="2409.5"/>
      </w:tblGrid>
      <w:tr>
        <w:trPr>
          <w:cantSplit/>
          <w:trHeight w:val="420"/>
        </w:trPr>
        <w:tc>
          <w:tcPr>
            <w:tcW w:w="2409.5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Patient name</w:t>
            </w:r>
          </w:p>
        </w:tc>
        <w:tc>
          <w:tcPr>
            <w:tcW w:w="2409.5" w:type="dxa"/>
          </w:tcPr>
          <w:p>
            <w:pPr/>
          </w:p>
        </w:tc>
        <w:tc>
          <w:tcPr>
            <w:tcW w:w="2409.5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Age / Sex</w:t>
            </w:r>
          </w:p>
        </w:tc>
        <w:tc>
          <w:tcPr>
            <w:tcW w:w="2409.5" w:type="dxa"/>
          </w:tcPr>
          <w:p>
            <w:pPr/>
          </w:p>
        </w:tc>
      </w:tr>
      <w:tr>
        <w:trPr>
          <w:cantSplit/>
          <w:trHeight w:val="420"/>
        </w:trPr>
        <w:tc>
          <w:tcPr>
            <w:tcW w:w="2409.5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UHID / MRN</w:t>
            </w:r>
          </w:p>
        </w:tc>
        <w:tc>
          <w:tcPr>
            <w:tcW w:w="2409.5" w:type="dxa"/>
          </w:tcPr>
          <w:p>
            <w:pPr/>
          </w:p>
        </w:tc>
        <w:tc>
          <w:tcPr>
            <w:tcW w:w="2409.5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Date &amp; time of procedure</w:t>
            </w:r>
          </w:p>
        </w:tc>
        <w:tc>
          <w:tcPr>
            <w:tcW w:w="2409.5" w:type="dxa"/>
          </w:tcPr>
          <w:p>
            <w:pPr/>
          </w:p>
        </w:tc>
      </w:tr>
      <w:tr>
        <w:trPr>
          <w:cantSplit/>
          <w:trHeight w:val="420"/>
        </w:trPr>
        <w:tc>
          <w:tcPr>
            <w:tcW w:w="2409.5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Referring doctor</w:t>
            </w:r>
          </w:p>
        </w:tc>
        <w:tc>
          <w:tcPr>
            <w:tcW w:w="2409.5" w:type="dxa"/>
          </w:tcPr>
          <w:p>
            <w:pPr/>
          </w:p>
        </w:tc>
        <w:tc>
          <w:tcPr>
            <w:tcW w:w="2409.5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Endoscopist</w:t>
            </w:r>
          </w:p>
        </w:tc>
        <w:tc>
          <w:tcPr>
            <w:tcW w:w="2409.5" w:type="dxa"/>
          </w:tcPr>
          <w:p>
            <w:pPr/>
          </w:p>
        </w:tc>
      </w:tr>
      <w:tr>
        <w:trPr>
          <w:cantSplit/>
          <w:trHeight w:val="420"/>
        </w:trPr>
        <w:tc>
          <w:tcPr>
            <w:tcW w:w="2409.5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Scope / instrument</w:t>
            </w:r>
          </w:p>
        </w:tc>
        <w:tc>
          <w:tcPr>
            <w:tcW w:w="2409.5" w:type="dxa"/>
          </w:tcPr>
          <w:p>
            <w:pPr/>
          </w:p>
        </w:tc>
        <w:tc>
          <w:tcPr>
            <w:tcW w:w="2409.5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Sedation / anaesthesia</w:t>
            </w:r>
          </w:p>
        </w:tc>
        <w:tc>
          <w:tcPr>
            <w:tcW w:w="2409.5" w:type="dxa"/>
          </w:tcPr>
          <w:p>
            <w:pPr/>
          </w:p>
        </w:tc>
      </w:tr>
      <w:tr>
        <w:trPr>
          <w:cantSplit/>
          <w:trHeight w:val="420"/>
        </w:trPr>
        <w:tc>
          <w:tcPr>
            <w:tcW w:w="2409.5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Consent obtained (Yes / No)</w:t>
            </w:r>
          </w:p>
        </w:tc>
        <w:tc>
          <w:tcPr>
            <w:tcW w:w="2409.5" w:type="dxa"/>
          </w:tcPr>
          <w:p>
            <w:pPr/>
          </w:p>
        </w:tc>
        <w:tc>
          <w:tcPr>
            <w:tcW w:w="2409.5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Assistant / nurse</w:t>
            </w:r>
          </w:p>
        </w:tc>
        <w:tc>
          <w:tcPr>
            <w:tcW w:w="2409.5" w:type="dxa"/>
          </w:tcPr>
          <w:p>
            <w:pPr/>
          </w:p>
        </w:tc>
      </w:tr>
    </w:tbl>
    <w:p>
      <w:pPr>
        <w:pStyle w:val="Heading1"/>
      </w:pPr>
      <w:r>
        <w:rPr/>
        <w:t xml:space="preserve">Nasal cavity</w:t>
      </w:r>
    </w:p>
    <w:p>
      <w:pPr>
        <w:spacing w:after="40"/>
      </w:pPr>
      <w:r>
        <w:rPr>
          <w:b/>
          <w:sz w:val="18"/>
          <w:szCs w:val="18"/>
        </w:rPr>
        <w:t xml:space="preserve">☐  Normal: </w:t>
      </w:r>
      <w:r>
        <w:rPr>
          <w:color w:val="5F6F6A"/>
          <w:sz w:val="18"/>
          <w:szCs w:val="18"/>
        </w:rPr>
        <w:t xml:space="preserve">The nasal cavity is patent with healthy pink mucosa, a midline septum and normal turbinates.</w:t>
      </w:r>
    </w:p>
    <w:p>
      <w:pPr>
        <w:spacing w:after="40"/>
      </w:pPr>
      <w:r>
        <w:rPr>
          <w:b/>
          <w:sz w:val="18"/>
          <w:szCs w:val="18"/>
        </w:rPr>
        <w:t xml:space="preserve">☐  Deviated septum: </w:t>
      </w:r>
      <w:r>
        <w:rPr>
          <w:color w:val="5F6F6A"/>
          <w:sz w:val="18"/>
          <w:szCs w:val="18"/>
        </w:rPr>
        <w:t xml:space="preserve">The nasal septum is deviated, causing narrowing of the nasal passage.</w:t>
      </w:r>
    </w:p>
    <w:p>
      <w:pPr>
        <w:spacing w:after="40"/>
      </w:pPr>
      <w:r>
        <w:rPr>
          <w:b/>
          <w:sz w:val="18"/>
          <w:szCs w:val="18"/>
        </w:rPr>
        <w:t xml:space="preserve">☐  Sinusitis: </w:t>
      </w:r>
      <w:r>
        <w:rPr>
          <w:color w:val="5F6F6A"/>
          <w:sz w:val="18"/>
          <w:szCs w:val="18"/>
        </w:rPr>
        <w:t xml:space="preserve">Congested mucosa and purulent middle-meatal discharge are consistent with sinusitis.</w:t>
      </w:r>
    </w:p>
    <w:tbl>
      <w:tblPr>
        <w:tblW w:w="9638" w:type="dxa"/>
        <w:tblBorders>
          <w:top w:val="single" w:sz="4" w:color="B8C2BF"/>
          <w:left w:val="single" w:sz="4" w:color="B8C2BF"/>
          <w:bottom w:val="single" w:sz="4" w:color="B8C2BF"/>
          <w:right w:val="single" w:sz="4" w:color="B8C2BF"/>
          <w:insideH w:val="single" w:sz="4" w:color="B8C2BF"/>
          <w:insideV w:val="single" w:sz="4" w:color="B8C2B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638"/>
      </w:tblGrid>
      <w:tr>
        <w:trPr>
          <w:cantSplit/>
          <w:trHeight w:val="680"/>
        </w:trPr>
        <w:tc>
          <w:tcPr>
            <w:tcW w:w="9638" w:type="dxa"/>
          </w:tcPr>
          <w:p>
            <w:pPr/>
          </w:p>
        </w:tc>
      </w:tr>
    </w:tbl>
    <w:p>
      <w:pPr>
        <w:pStyle w:val="Heading1"/>
      </w:pPr>
      <w:r>
        <w:rPr/>
        <w:t xml:space="preserve">External ear canal</w:t>
      </w:r>
    </w:p>
    <w:p>
      <w:pPr>
        <w:spacing w:after="40"/>
      </w:pPr>
      <w:r>
        <w:rPr>
          <w:b/>
          <w:sz w:val="18"/>
          <w:szCs w:val="18"/>
        </w:rPr>
        <w:t xml:space="preserve">☐  Normal: </w:t>
      </w:r>
      <w:r>
        <w:rPr>
          <w:color w:val="5F6F6A"/>
          <w:sz w:val="18"/>
          <w:szCs w:val="18"/>
        </w:rPr>
        <w:t xml:space="preserve">The external auditory canal is clear, without erythema or swelling.</w:t>
      </w:r>
    </w:p>
    <w:p>
      <w:pPr>
        <w:spacing w:after="40"/>
      </w:pPr>
      <w:r>
        <w:rPr>
          <w:b/>
          <w:sz w:val="18"/>
          <w:szCs w:val="18"/>
        </w:rPr>
        <w:t xml:space="preserve">☐  Impacted cerumen: </w:t>
      </w:r>
      <w:r>
        <w:rPr>
          <w:color w:val="5F6F6A"/>
          <w:sz w:val="18"/>
          <w:szCs w:val="18"/>
        </w:rPr>
        <w:t xml:space="preserve">The external auditory canal is obstructed by impacted cerumen.</w:t>
      </w:r>
    </w:p>
    <w:p>
      <w:pPr>
        <w:spacing w:after="40"/>
      </w:pPr>
      <w:r>
        <w:rPr>
          <w:b/>
          <w:sz w:val="18"/>
          <w:szCs w:val="18"/>
        </w:rPr>
        <w:t xml:space="preserve">☐  Otitis externa: </w:t>
      </w:r>
      <w:r>
        <w:rPr>
          <w:color w:val="5F6F6A"/>
          <w:sz w:val="18"/>
          <w:szCs w:val="18"/>
        </w:rPr>
        <w:t xml:space="preserve">Canal erythema, oedema and discharge indicate otitis externa.</w:t>
      </w:r>
    </w:p>
    <w:tbl>
      <w:tblPr>
        <w:tblW w:w="9638" w:type="dxa"/>
        <w:tblBorders>
          <w:top w:val="single" w:sz="4" w:color="B8C2BF"/>
          <w:left w:val="single" w:sz="4" w:color="B8C2BF"/>
          <w:bottom w:val="single" w:sz="4" w:color="B8C2BF"/>
          <w:right w:val="single" w:sz="4" w:color="B8C2BF"/>
          <w:insideH w:val="single" w:sz="4" w:color="B8C2BF"/>
          <w:insideV w:val="single" w:sz="4" w:color="B8C2B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638"/>
      </w:tblGrid>
      <w:tr>
        <w:trPr>
          <w:cantSplit/>
          <w:trHeight w:val="680"/>
        </w:trPr>
        <w:tc>
          <w:tcPr>
            <w:tcW w:w="9638" w:type="dxa"/>
          </w:tcPr>
          <w:p>
            <w:pPr/>
          </w:p>
        </w:tc>
      </w:tr>
    </w:tbl>
    <w:p>
      <w:pPr>
        <w:pStyle w:val="Heading1"/>
      </w:pPr>
      <w:r>
        <w:rPr/>
        <w:t xml:space="preserve">Tympanic membrane</w:t>
      </w:r>
    </w:p>
    <w:p>
      <w:pPr>
        <w:spacing w:after="40"/>
      </w:pPr>
      <w:r>
        <w:rPr>
          <w:b/>
          <w:sz w:val="18"/>
          <w:szCs w:val="18"/>
        </w:rPr>
        <w:t xml:space="preserve">☐  Normal: </w:t>
      </w:r>
      <w:r>
        <w:rPr>
          <w:color w:val="5F6F6A"/>
          <w:sz w:val="18"/>
          <w:szCs w:val="18"/>
        </w:rPr>
        <w:t xml:space="preserve">The tympanic membrane is intact, pearly grey and has a normal light reflex.</w:t>
      </w:r>
    </w:p>
    <w:p>
      <w:pPr>
        <w:spacing w:after="40"/>
      </w:pPr>
      <w:r>
        <w:rPr>
          <w:b/>
          <w:sz w:val="18"/>
          <w:szCs w:val="18"/>
        </w:rPr>
        <w:t xml:space="preserve">☐  Perforation: </w:t>
      </w:r>
      <w:r>
        <w:rPr>
          <w:color w:val="5F6F6A"/>
          <w:sz w:val="18"/>
          <w:szCs w:val="18"/>
        </w:rPr>
        <w:t xml:space="preserve">A small, dry central perforation is present in the pars tensa.</w:t>
      </w:r>
    </w:p>
    <w:tbl>
      <w:tblPr>
        <w:tblW w:w="9638" w:type="dxa"/>
        <w:tblBorders>
          <w:top w:val="single" w:sz="4" w:color="B8C2BF"/>
          <w:left w:val="single" w:sz="4" w:color="B8C2BF"/>
          <w:bottom w:val="single" w:sz="4" w:color="B8C2BF"/>
          <w:right w:val="single" w:sz="4" w:color="B8C2BF"/>
          <w:insideH w:val="single" w:sz="4" w:color="B8C2BF"/>
          <w:insideV w:val="single" w:sz="4" w:color="B8C2B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638"/>
      </w:tblGrid>
      <w:tr>
        <w:trPr>
          <w:cantSplit/>
          <w:trHeight w:val="680"/>
        </w:trPr>
        <w:tc>
          <w:tcPr>
            <w:tcW w:w="9638" w:type="dxa"/>
          </w:tcPr>
          <w:p>
            <w:pPr/>
          </w:p>
        </w:tc>
      </w:tr>
    </w:tbl>
    <w:p>
      <w:pPr>
        <w:pStyle w:val="Heading1"/>
      </w:pPr>
      <w:r>
        <w:rPr/>
        <w:t xml:space="preserve">Impression</w:t>
      </w:r>
    </w:p>
    <w:tbl>
      <w:tblPr>
        <w:tblW w:w="9638" w:type="dxa"/>
        <w:tblBorders>
          <w:top w:val="single" w:sz="4" w:color="B8C2BF"/>
          <w:left w:val="single" w:sz="4" w:color="B8C2BF"/>
          <w:bottom w:val="single" w:sz="4" w:color="B8C2BF"/>
          <w:right w:val="single" w:sz="4" w:color="B8C2BF"/>
          <w:insideH w:val="single" w:sz="4" w:color="B8C2BF"/>
          <w:insideV w:val="single" w:sz="4" w:color="B8C2B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638"/>
      </w:tblGrid>
      <w:tr>
        <w:trPr>
          <w:cantSplit/>
          <w:trHeight w:val="1360"/>
        </w:trPr>
        <w:tc>
          <w:tcPr>
            <w:tcW w:w="9638" w:type="dxa"/>
          </w:tcPr>
          <w:p>
            <w:pPr/>
          </w:p>
        </w:tc>
      </w:tr>
    </w:tbl>
    <w:p>
      <w:pPr>
        <w:pStyle w:val="Heading1"/>
      </w:pPr>
      <w:r>
        <w:rPr/>
        <w:t xml:space="preserve">Endoscopic images</w:t>
      </w:r>
    </w:p>
    <w:tbl>
      <w:tblPr>
        <w:tblW w:w="9638" w:type="dxa"/>
        <w:tblBorders>
          <w:top w:val="single" w:sz="4" w:color="B8C2BF"/>
          <w:left w:val="single" w:sz="4" w:color="B8C2BF"/>
          <w:bottom w:val="single" w:sz="4" w:color="B8C2BF"/>
          <w:right w:val="single" w:sz="4" w:color="B8C2BF"/>
          <w:insideH w:val="single" w:sz="4" w:color="B8C2BF"/>
          <w:insideV w:val="single" w:sz="4" w:color="B8C2B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4819"/>
        <w:gridCol w:w="4819"/>
      </w:tblGrid>
      <w:tr>
        <w:trPr>
          <w:cantSplit/>
          <w:trHeight w:val="2600"/>
        </w:trPr>
        <w:tc>
          <w:tcPr>
            <w:tcW w:w="4819" w:type="dxa"/>
          </w:tcPr>
          <w:p>
            <w:pPr/>
            <w:r>
              <w:rPr>
                <w:color w:val="5F6F6A"/>
                <w:sz w:val="16"/>
                <w:szCs w:val="16"/>
              </w:rPr>
              <w:t xml:space="preserve">Image 1 – site / finding:</w:t>
            </w:r>
          </w:p>
        </w:tc>
        <w:tc>
          <w:tcPr>
            <w:tcW w:w="4819" w:type="dxa"/>
          </w:tcPr>
          <w:p>
            <w:pPr/>
            <w:r>
              <w:rPr>
                <w:color w:val="5F6F6A"/>
                <w:sz w:val="16"/>
                <w:szCs w:val="16"/>
              </w:rPr>
              <w:t xml:space="preserve">Image 2 – site / finding:</w:t>
            </w:r>
          </w:p>
        </w:tc>
      </w:tr>
      <w:tr>
        <w:trPr>
          <w:cantSplit/>
          <w:trHeight w:val="2600"/>
        </w:trPr>
        <w:tc>
          <w:tcPr>
            <w:tcW w:w="4819" w:type="dxa"/>
          </w:tcPr>
          <w:p>
            <w:pPr/>
            <w:r>
              <w:rPr>
                <w:color w:val="5F6F6A"/>
                <w:sz w:val="16"/>
                <w:szCs w:val="16"/>
              </w:rPr>
              <w:t xml:space="preserve">Image 3 – site / finding:</w:t>
            </w:r>
          </w:p>
        </w:tc>
        <w:tc>
          <w:tcPr>
            <w:tcW w:w="4819" w:type="dxa"/>
          </w:tcPr>
          <w:p>
            <w:pPr/>
            <w:r>
              <w:rPr>
                <w:color w:val="5F6F6A"/>
                <w:sz w:val="16"/>
                <w:szCs w:val="16"/>
              </w:rPr>
              <w:t xml:space="preserve">Image 4 – site / finding:</w:t>
            </w:r>
          </w:p>
        </w:tc>
      </w:tr>
    </w:tbl>
    <w:p>
      <w:pPr/>
    </w:p>
    <w:tbl>
      <w:tblPr>
        <w:tblW w:w="9638" w:type="dxa"/>
        <w:tblBorders>
          <w:top w:val="single" w:sz="4" w:color="B8C2BF"/>
          <w:left w:val="single" w:sz="4" w:color="B8C2BF"/>
          <w:bottom w:val="single" w:sz="4" w:color="B8C2BF"/>
          <w:right w:val="single" w:sz="4" w:color="B8C2BF"/>
          <w:insideH w:val="single" w:sz="4" w:color="B8C2BF"/>
          <w:insideV w:val="single" w:sz="4" w:color="B8C2B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212"/>
        <w:gridCol w:w="3212"/>
        <w:gridCol w:w="3214"/>
      </w:tblGrid>
      <w:tr>
        <w:trPr>
          <w:cantSplit/>
          <w:trHeight w:val="500"/>
        </w:trPr>
        <w:tc>
          <w:tcPr>
            <w:tcW w:w="3212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Endoscopist name &amp; registration no.</w:t>
            </w:r>
          </w:p>
        </w:tc>
        <w:tc>
          <w:tcPr>
            <w:tcW w:w="3212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Signature</w:t>
            </w:r>
          </w:p>
        </w:tc>
        <w:tc>
          <w:tcPr>
            <w:tcW w:w="3214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Date &amp; time</w:t>
            </w:r>
          </w:p>
        </w:tc>
      </w:tr>
      <w:tr>
        <w:trPr>
          <w:cantSplit/>
          <w:trHeight w:val="500"/>
        </w:trPr>
        <w:tc>
          <w:tcPr>
            <w:tcW w:w="3212" w:type="dxa"/>
          </w:tcPr>
          <w:p>
            <w:pPr/>
          </w:p>
        </w:tc>
        <w:tc>
          <w:tcPr>
            <w:tcW w:w="3212" w:type="dxa"/>
          </w:tcPr>
          <w:p>
            <w:pPr/>
          </w:p>
        </w:tc>
        <w:tc>
          <w:tcPr>
            <w:tcW w:w="3214" w:type="dxa"/>
          </w:tcPr>
          <w:p>
            <w:pPr/>
          </w:p>
        </w:tc>
      </w:tr>
    </w:tbl>
    <w:p>
      <w:pPr/>
    </w:p>
    <w:p>
      <w:pPr/>
      <w:r>
        <w:rPr>
          <w:b/>
          <w:color w:val="087357"/>
          <w:sz w:val="18"/>
          <w:szCs w:val="18"/>
        </w:rPr>
        <w:t xml:space="preserve">Save time on the next one: </w:t>
      </w:r>
      <w:hyperlink r:id="rIdUpsell" w:history="1">
        <w:r>
          <w:rPr>
            <w:u w:val="single"/>
            <w:color w:val="087357"/>
            <w:sz w:val="18"/>
            <w:szCs w:val="18"/>
          </w:rPr>
          <w:t xml:space="preserve">fill this format online at report.medprax.in</w:t>
        </w:r>
      </w:hyperlink>
      <w:r>
        <w:rPr>
          <w:color w:val="5F6F6A"/>
          <w:sz w:val="18"/>
          <w:szCs w:val="18"/>
        </w:rPr>
        <w:t xml:space="preserve"> — tap common findings, add scope images and download a signed PDF. 5 reports a month free.</w:t>
      </w:r>
    </w:p>
    <w:sectPr>
      <w:footerReference w:type="default" r:id="rIdFooter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/>
    <w:r>
      <w:rPr>
        <w:color w:val="5F6F6A"/>
        <w:sz w:val="14"/>
        <w:szCs w:val="14"/>
      </w:rPr>
      <w:t xml:space="preserve">Free format from MedPrax Report · Fill it in online with images and a signed PDF: report.medprax.in</w:t>
    </w:r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color w:val="17211F"/>
      </w:rPr>
    </w:rPrDefault>
    <w:pPrDefault>
      <w:pPr>
        <w:spacing w:after="8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qFormat/>
    <w:pPr>
      <w:spacing w:before="120" w:after="40"/>
    </w:pPr>
    <w:rPr>
      <w:b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240" w:after="80"/>
      <w:outlineLvl w:val="0"/>
    </w:pPr>
    <w:rPr>
      <w:b/>
      <w:color w:val="087357"/>
      <w:sz w:val="24"/>
      <w:szCs w:val="24"/>
    </w:r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Footer" Type="http://schemas.openxmlformats.org/officeDocument/2006/relationships/footer" Target="footer1.xml"/><Relationship Id="rIdUpsell" Type="http://schemas.openxmlformats.org/officeDocument/2006/relationships/hyperlink" Target="https://report.medprax.in/signup?utm_source=report_format&amp;utm_medium=docx&amp;utm_campaign=otoscopy-rhinoscopy-report-forma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Rhinoscopy and Ear Examination Report Format – Free Word Template</dc:title>
  <dc:subject>Nasal cavity, ear canal and tympanic membrane</dc:subject>
  <dc:creator>MedPrax Report (report.medprax.in)</dc:creator>
  <cp:keywords>rhinoscopy and ear examination report format, endoscopy report format, word</cp:keywords>
  <dcterms:created xsi:type="dcterms:W3CDTF">2026-11-03T20:03:02Z</dcterms:created>
  <dcterms:modified xsi:type="dcterms:W3CDTF">2026-11-03T20:03:02Z</dcterms:modified>
</cp:coreProperties>
</file>