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color w:val="5F6F6A"/>
        </w:rPr>
        <w:t xml:space="preserve">[Hospital / clinic name, address and logo]</w:t>
      </w:r>
    </w:p>
    <w:p>
      <w:pPr>
        <w:pStyle w:val="Title"/>
      </w:pPr>
      <w:r>
        <w:rPr/>
        <w:t xml:space="preserve">Nasal Endoscopy Report</w:t>
      </w:r>
    </w:p>
    <w:p>
      <w:pPr/>
      <w:r>
        <w:rPr>
          <w:color w:val="5F6F6A"/>
        </w:rPr>
        <w:t xml:space="preserve">Bilateral nasal cavity and nasopharynx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409.5"/>
        <w:gridCol w:w="2409.5"/>
        <w:gridCol w:w="2409.5"/>
        <w:gridCol w:w="2409.5"/>
      </w:tblGrid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Patient name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Age / Sex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UHID / MRN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 of procedure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Referring doctor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Scope / instrument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Sedation / anaesthesia</w:t>
            </w:r>
          </w:p>
        </w:tc>
        <w:tc>
          <w:tcPr>
            <w:tcW w:w="2409.5" w:type="dxa"/>
          </w:tcPr>
          <w:p>
            <w:pPr/>
          </w:p>
        </w:tc>
      </w:tr>
      <w:tr>
        <w:trPr>
          <w:cantSplit/>
          <w:trHeight w:val="420"/>
        </w:trPr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Consent obtained (Yes / No)</w:t>
            </w:r>
          </w:p>
        </w:tc>
        <w:tc>
          <w:tcPr>
            <w:tcW w:w="2409.5" w:type="dxa"/>
          </w:tcPr>
          <w:p>
            <w:pPr/>
          </w:p>
        </w:tc>
        <w:tc>
          <w:tcPr>
            <w:tcW w:w="2409.5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Assistant / nurse</w:t>
            </w:r>
          </w:p>
        </w:tc>
        <w:tc>
          <w:tcPr>
            <w:tcW w:w="2409.5" w:type="dxa"/>
          </w:tcPr>
          <w:p>
            <w:pPr/>
          </w:p>
        </w:tc>
      </w:tr>
    </w:tbl>
    <w:p>
      <w:pPr>
        <w:pStyle w:val="Heading1"/>
      </w:pPr>
      <w:r>
        <w:rPr/>
        <w:t xml:space="preserve">Indication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02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Technique &amp; tolerance</w:t>
      </w:r>
    </w:p>
    <w:p>
      <w:pPr>
        <w:spacing w:after="40"/>
      </w:pPr>
      <w:r>
        <w:rPr>
          <w:b/>
          <w:sz w:val="18"/>
          <w:szCs w:val="18"/>
        </w:rPr>
        <w:t xml:space="preserve">☐  Completed: </w:t>
      </w:r>
      <w:r>
        <w:rPr>
          <w:color w:val="5F6F6A"/>
          <w:sz w:val="18"/>
          <w:szCs w:val="18"/>
        </w:rPr>
        <w:t xml:space="preserve">Diagnostic nasal endoscopy was completed and the patient tolerated the examination.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Right nasal cavity</w:t>
      </w:r>
    </w:p>
    <w:p>
      <w:pPr>
        <w:spacing w:after="40"/>
      </w:pPr>
      <w:r>
        <w:rPr>
          <w:b/>
          <w:sz w:val="18"/>
          <w:szCs w:val="18"/>
        </w:rPr>
        <w:t xml:space="preserve">☐  No abnormality seen: </w:t>
      </w:r>
      <w:r>
        <w:rPr>
          <w:color w:val="5F6F6A"/>
          <w:sz w:val="18"/>
          <w:szCs w:val="18"/>
        </w:rPr>
        <w:t xml:space="preserve">The septum, inferior and middle turbinates, middle meatus and sphenoethmoidal recess show no visible abnormality on this examination.</w:t>
      </w:r>
    </w:p>
    <w:p>
      <w:pPr>
        <w:spacing w:after="40"/>
      </w:pPr>
      <w:r>
        <w:rPr>
          <w:b/>
          <w:sz w:val="18"/>
          <w:szCs w:val="18"/>
        </w:rPr>
        <w:t xml:space="preserve">☐  Discharge: </w:t>
      </w:r>
      <w:r>
        <w:rPr>
          <w:color w:val="5F6F6A"/>
          <w:sz w:val="18"/>
          <w:szCs w:val="18"/>
        </w:rPr>
        <w:t xml:space="preserve">Discharge is present; record the site, character and extent.</w:t>
      </w:r>
    </w:p>
    <w:p>
      <w:pPr>
        <w:spacing w:after="40"/>
      </w:pPr>
      <w:r>
        <w:rPr>
          <w:b/>
          <w:sz w:val="18"/>
          <w:szCs w:val="18"/>
        </w:rPr>
        <w:t xml:space="preserve">☐  Polypoid change: </w:t>
      </w:r>
      <w:r>
        <w:rPr>
          <w:color w:val="5F6F6A"/>
          <w:sz w:val="18"/>
          <w:szCs w:val="18"/>
        </w:rPr>
        <w:t xml:space="preserve">Polypoid change is present; record the site and extent.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Left nasal cavity</w:t>
      </w:r>
    </w:p>
    <w:p>
      <w:pPr>
        <w:spacing w:after="40"/>
      </w:pPr>
      <w:r>
        <w:rPr>
          <w:b/>
          <w:sz w:val="18"/>
          <w:szCs w:val="18"/>
        </w:rPr>
        <w:t xml:space="preserve">☐  No abnormality seen: </w:t>
      </w:r>
      <w:r>
        <w:rPr>
          <w:color w:val="5F6F6A"/>
          <w:sz w:val="18"/>
          <w:szCs w:val="18"/>
        </w:rPr>
        <w:t xml:space="preserve">The septum, inferior and middle turbinates, middle meatus and sphenoethmoidal recess show no visible abnormality on this examination.</w:t>
      </w:r>
    </w:p>
    <w:p>
      <w:pPr>
        <w:spacing w:after="40"/>
      </w:pPr>
      <w:r>
        <w:rPr>
          <w:b/>
          <w:sz w:val="18"/>
          <w:szCs w:val="18"/>
        </w:rPr>
        <w:t xml:space="preserve">☐  Discharge: </w:t>
      </w:r>
      <w:r>
        <w:rPr>
          <w:color w:val="5F6F6A"/>
          <w:sz w:val="18"/>
          <w:szCs w:val="18"/>
        </w:rPr>
        <w:t xml:space="preserve">Discharge is present; record the site, character and extent.</w:t>
      </w:r>
    </w:p>
    <w:p>
      <w:pPr>
        <w:spacing w:after="40"/>
      </w:pPr>
      <w:r>
        <w:rPr>
          <w:b/>
          <w:sz w:val="18"/>
          <w:szCs w:val="18"/>
        </w:rPr>
        <w:t xml:space="preserve">☐  Polypoid change: </w:t>
      </w:r>
      <w:r>
        <w:rPr>
          <w:color w:val="5F6F6A"/>
          <w:sz w:val="18"/>
          <w:szCs w:val="18"/>
        </w:rPr>
        <w:t xml:space="preserve">Polypoid change is present; record the site and extent.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Nasopharynx</w:t>
      </w:r>
    </w:p>
    <w:p>
      <w:pPr>
        <w:spacing w:after="40"/>
      </w:pPr>
      <w:r>
        <w:rPr>
          <w:b/>
          <w:sz w:val="18"/>
          <w:szCs w:val="18"/>
        </w:rPr>
        <w:t xml:space="preserve">☐  No abnormality seen: </w:t>
      </w:r>
      <w:r>
        <w:rPr>
          <w:color w:val="5F6F6A"/>
          <w:sz w:val="18"/>
          <w:szCs w:val="18"/>
        </w:rPr>
        <w:t xml:space="preserve">The nasopharynx shows no visible abnormality on this examination.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68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Impression &amp; complications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638"/>
      </w:tblGrid>
      <w:tr>
        <w:trPr>
          <w:cantSplit/>
          <w:trHeight w:val="1360"/>
        </w:trPr>
        <w:tc>
          <w:tcPr>
            <w:tcW w:w="9638" w:type="dxa"/>
          </w:tcPr>
          <w:p>
            <w:pPr/>
          </w:p>
        </w:tc>
      </w:tr>
    </w:tbl>
    <w:p>
      <w:pPr>
        <w:pStyle w:val="Heading1"/>
      </w:pPr>
      <w:r>
        <w:rPr/>
        <w:t xml:space="preserve">Endoscopic images</w:t>
      </w:r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819"/>
        <w:gridCol w:w="4819"/>
      </w:tblGrid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1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2 – site / finding:</w:t>
            </w:r>
          </w:p>
        </w:tc>
      </w:tr>
      <w:tr>
        <w:trPr>
          <w:cantSplit/>
          <w:trHeight w:val="2600"/>
        </w:trPr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3 – site / finding:</w:t>
            </w:r>
          </w:p>
        </w:tc>
        <w:tc>
          <w:tcPr>
            <w:tcW w:w="4819" w:type="dxa"/>
          </w:tcPr>
          <w:p>
            <w:pPr/>
            <w:r>
              <w:rPr>
                <w:color w:val="5F6F6A"/>
                <w:sz w:val="16"/>
                <w:szCs w:val="16"/>
              </w:rPr>
              <w:t xml:space="preserve">Image 4 – site / finding:</w:t>
            </w:r>
          </w:p>
        </w:tc>
      </w:tr>
    </w:tbl>
    <w:p>
      <w:pPr/>
    </w:p>
    <w:tbl>
      <w:tblPr>
        <w:tblW w:w="9638" w:type="dxa"/>
        <w:tblBorders>
          <w:top w:val="single" w:sz="4" w:color="B8C2BF"/>
          <w:left w:val="single" w:sz="4" w:color="B8C2BF"/>
          <w:bottom w:val="single" w:sz="4" w:color="B8C2BF"/>
          <w:right w:val="single" w:sz="4" w:color="B8C2BF"/>
          <w:insideH w:val="single" w:sz="4" w:color="B8C2BF"/>
          <w:insideV w:val="single" w:sz="4" w:color="B8C2BF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12"/>
        <w:gridCol w:w="3212"/>
        <w:gridCol w:w="3214"/>
      </w:tblGrid>
      <w:tr>
        <w:trPr>
          <w:cantSplit/>
          <w:trHeight w:val="500"/>
        </w:trPr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Endoscopist name &amp; registration no.</w:t>
            </w:r>
          </w:p>
        </w:tc>
        <w:tc>
          <w:tcPr>
            <w:tcW w:w="3212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Signature</w:t>
            </w:r>
          </w:p>
        </w:tc>
        <w:tc>
          <w:tcPr>
            <w:tcW w:w="3214" w:type="dxa"/>
          </w:tcPr>
          <w:p>
            <w:pPr>
              <w:spacing w:after="0"/>
            </w:pPr>
            <w:r>
              <w:rPr>
                <w:color w:val="5F6F6A"/>
                <w:sz w:val="16"/>
                <w:szCs w:val="16"/>
              </w:rPr>
              <w:t xml:space="preserve">Date &amp; time</w:t>
            </w:r>
          </w:p>
        </w:tc>
      </w:tr>
      <w:tr>
        <w:trPr>
          <w:cantSplit/>
          <w:trHeight w:val="500"/>
        </w:trPr>
        <w:tc>
          <w:tcPr>
            <w:tcW w:w="3212" w:type="dxa"/>
          </w:tcPr>
          <w:p>
            <w:pPr/>
          </w:p>
        </w:tc>
        <w:tc>
          <w:tcPr>
            <w:tcW w:w="3212" w:type="dxa"/>
          </w:tcPr>
          <w:p>
            <w:pPr/>
          </w:p>
        </w:tc>
        <w:tc>
          <w:tcPr>
            <w:tcW w:w="3214" w:type="dxa"/>
          </w:tcPr>
          <w:p>
            <w:pPr/>
          </w:p>
        </w:tc>
      </w:tr>
    </w:tbl>
    <w:p>
      <w:pPr/>
    </w:p>
    <w:p>
      <w:pPr/>
      <w:r>
        <w:rPr>
          <w:b/>
          <w:color w:val="087357"/>
          <w:sz w:val="18"/>
          <w:szCs w:val="18"/>
        </w:rPr>
        <w:t xml:space="preserve">Save time on the next one: </w:t>
      </w:r>
      <w:hyperlink r:id="rIdUpsell" w:history="1">
        <w:r>
          <w:rPr>
            <w:u w:val="single"/>
            <w:color w:val="087357"/>
            <w:sz w:val="18"/>
            <w:szCs w:val="18"/>
          </w:rPr>
          <w:t xml:space="preserve">fill this format online at report.medprax.in</w:t>
        </w:r>
      </w:hyperlink>
      <w:r>
        <w:rPr>
          <w:color w:val="5F6F6A"/>
          <w:sz w:val="18"/>
          <w:szCs w:val="18"/>
        </w:rPr>
        <w:t xml:space="preserve"> — tap common findings, add scope images and download a signed PDF. 5 reports a month free.</w:t>
      </w: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/>
    <w:r>
      <w:rPr>
        <w:color w:val="5F6F6A"/>
        <w:sz w:val="14"/>
        <w:szCs w:val="14"/>
      </w:rPr>
      <w:t xml:space="preserve">Free format from MedPrax Report · Fill it in online with images and a signed PDF: report.medprax.in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7211F"/>
      </w:rPr>
    </w:rPrDefault>
    <w:pPrDefault>
      <w:pPr>
        <w:spacing w:after="8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qFormat/>
    <w:pPr>
      <w:spacing w:before="120" w:after="40"/>
    </w:pPr>
    <w:rPr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087357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Relationship Id="rIdUpsell" Type="http://schemas.openxmlformats.org/officeDocument/2006/relationships/hyperlink" Target="https://report.medprax.in/signup?utm_source=report_format&amp;utm_medium=docx&amp;utm_campaign=nasal-endoscopy-report-forma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Nasal Endoscopy Report Format – Free Word Template</dc:title>
  <dc:subject>Bilateral nasal cavity and nasopharynx</dc:subject>
  <dc:creator>MedPrax Report (report.medprax.in)</dc:creator>
  <cp:keywords>nasal endoscopy report format, endoscopy report format, word</cp:keywords>
  <dcterms:created xsi:type="dcterms:W3CDTF">2026-11-03T20:03:01Z</dcterms:created>
  <dcterms:modified xsi:type="dcterms:W3CDTF">2026-11-03T20:03:01Z</dcterms:modified>
</cp:coreProperties>
</file>